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B" w:rsidRPr="00BE767B" w:rsidRDefault="00BE767B" w:rsidP="00BE767B">
      <w:pPr>
        <w:rPr>
          <w:b/>
          <w:sz w:val="28"/>
          <w:szCs w:val="28"/>
        </w:rPr>
      </w:pPr>
      <w:bookmarkStart w:id="0" w:name="_GoBack"/>
      <w:bookmarkEnd w:id="0"/>
      <w:r w:rsidRPr="00BE767B">
        <w:rPr>
          <w:b/>
          <w:sz w:val="28"/>
          <w:szCs w:val="28"/>
        </w:rPr>
        <w:t xml:space="preserve">Нормы точности настольных токарно-винторезных станков </w:t>
      </w:r>
      <w:proofErr w:type="spellStart"/>
      <w:r w:rsidRPr="00BE767B">
        <w:rPr>
          <w:b/>
          <w:sz w:val="28"/>
          <w:szCs w:val="28"/>
        </w:rPr>
        <w:t>Opti</w:t>
      </w:r>
      <w:proofErr w:type="spellEnd"/>
      <w:r w:rsidRPr="00BE767B">
        <w:rPr>
          <w:b/>
          <w:sz w:val="28"/>
          <w:szCs w:val="28"/>
        </w:rPr>
        <w:t>:</w:t>
      </w:r>
    </w:p>
    <w:p w:rsidR="00BE767B" w:rsidRPr="00BE767B" w:rsidRDefault="00BE767B" w:rsidP="00BE767B">
      <w:pPr>
        <w:rPr>
          <w:b/>
          <w:sz w:val="28"/>
          <w:szCs w:val="28"/>
          <w:lang w:val="en-US"/>
        </w:rPr>
      </w:pPr>
      <w:proofErr w:type="gramStart"/>
      <w:r w:rsidRPr="00BE767B">
        <w:rPr>
          <w:b/>
          <w:sz w:val="28"/>
          <w:szCs w:val="28"/>
          <w:lang w:val="en-US"/>
        </w:rPr>
        <w:t xml:space="preserve">D180x300 </w:t>
      </w:r>
      <w:proofErr w:type="spellStart"/>
      <w:r w:rsidRPr="00BE767B">
        <w:rPr>
          <w:b/>
          <w:sz w:val="28"/>
          <w:szCs w:val="28"/>
          <w:lang w:val="en-US"/>
        </w:rPr>
        <w:t>Vario</w:t>
      </w:r>
      <w:proofErr w:type="spellEnd"/>
      <w:r w:rsidRPr="00BE767B">
        <w:rPr>
          <w:b/>
          <w:sz w:val="28"/>
          <w:szCs w:val="28"/>
          <w:lang w:val="en-US"/>
        </w:rPr>
        <w:t xml:space="preserve">, D240x500G / </w:t>
      </w:r>
      <w:proofErr w:type="spellStart"/>
      <w:r w:rsidRPr="00BE767B">
        <w:rPr>
          <w:b/>
          <w:sz w:val="28"/>
          <w:szCs w:val="28"/>
          <w:lang w:val="en-US"/>
        </w:rPr>
        <w:t>Vario</w:t>
      </w:r>
      <w:proofErr w:type="spellEnd"/>
      <w:r w:rsidRPr="00BE767B">
        <w:rPr>
          <w:b/>
          <w:sz w:val="28"/>
          <w:szCs w:val="28"/>
          <w:lang w:val="en-US"/>
        </w:rPr>
        <w:t xml:space="preserve">, D280x700G / </w:t>
      </w:r>
      <w:proofErr w:type="spellStart"/>
      <w:r w:rsidRPr="00BE767B">
        <w:rPr>
          <w:b/>
          <w:sz w:val="28"/>
          <w:szCs w:val="28"/>
          <w:lang w:val="en-US"/>
        </w:rPr>
        <w:t>Vario</w:t>
      </w:r>
      <w:proofErr w:type="spellEnd"/>
      <w:r w:rsidRPr="00BE767B">
        <w:rPr>
          <w:b/>
          <w:sz w:val="28"/>
          <w:szCs w:val="28"/>
          <w:lang w:val="en-US"/>
        </w:rPr>
        <w:t>.</w:t>
      </w:r>
      <w:proofErr w:type="gramEnd"/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085"/>
        <w:gridCol w:w="1308"/>
      </w:tblGrid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Измеряемая величина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измерения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и торцевое биение шпинделя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E367A" wp14:editId="10FCD3A5">
                  <wp:extent cx="3813175" cy="2673985"/>
                  <wp:effectExtent l="0" t="0" r="0" b="0"/>
                  <wp:docPr id="28" name="Рисунок 28" descr="Радиальное и торцевое биение фланца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адиальное и торцевое биение фланца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0,009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присоединительной поверхности шпинделя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5A1E0" wp14:editId="69AFF134">
                  <wp:extent cx="3813175" cy="2673985"/>
                  <wp:effectExtent l="0" t="0" r="0" b="0"/>
                  <wp:docPr id="29" name="Рисунок 29" descr="Радиальное биение присоединительной поверхност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адиальное биение присоединительной поверхност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оправки, установленной во внутренний конус шпинделя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FB0B3" wp14:editId="14FA7828">
                  <wp:extent cx="3813175" cy="2673985"/>
                  <wp:effectExtent l="0" t="0" r="0" b="0"/>
                  <wp:docPr id="30" name="Рисунок 30" descr="Радиальное биение оправки, установленной во внутренний конус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адиальное биение оправки, установленной во внутренний конус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0,015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Параллельность пиноли задней бабки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A2673" wp14:editId="2961CE1D">
                  <wp:extent cx="3813175" cy="2673985"/>
                  <wp:effectExtent l="0" t="0" r="0" b="0"/>
                  <wp:docPr id="31" name="Рисунок 31" descr="Параллельность пинол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араллельность пинол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0,025 / 50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0,015 / 50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Биение оправки, установленной в центрах шпинделя и задней бабки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5702E" wp14:editId="482D505B">
                  <wp:extent cx="3813175" cy="2673985"/>
                  <wp:effectExtent l="0" t="0" r="0" b="0"/>
                  <wp:docPr id="32" name="Рисунок 32" descr="Биение оправки, установленной в центрах шпинделя 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иение оправки, установленной в центрах шпинделя 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шпинделя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7EC1E" wp14:editId="0A99E17D">
                  <wp:extent cx="3813175" cy="2673985"/>
                  <wp:effectExtent l="0" t="0" r="0" b="0"/>
                  <wp:docPr id="33" name="Рисунок 33" descr="Параллельность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араллельность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0,03 / 250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0,03 / 250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Параллельность 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верхней каретки суппорта оси шпинделя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72FF8" wp14:editId="6C78350D">
                  <wp:extent cx="3813175" cy="2673985"/>
                  <wp:effectExtent l="0" t="0" r="0" b="0"/>
                  <wp:docPr id="34" name="Рисунок 34" descr="Параллельность перемещения верхней каретки суппорта оси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араллельность перемещения верхней каретки суппорта оси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/ 75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токарного патрона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4EC4D" wp14:editId="49FA2DD3">
                  <wp:extent cx="3813175" cy="2673985"/>
                  <wp:effectExtent l="0" t="0" r="0" b="0"/>
                  <wp:docPr id="35" name="Рисунок 35" descr="Радиальное биение токарного пат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адиальное биение токарного пат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мм</w:t>
            </w:r>
          </w:p>
        </w:tc>
      </w:tr>
      <w:tr w:rsidR="00BE767B" w:rsidRPr="00BE767B" w:rsidTr="00BE767B">
        <w:trPr>
          <w:tblCellSpacing w:w="15" w:type="dxa"/>
        </w:trPr>
        <w:tc>
          <w:tcPr>
            <w:tcW w:w="2869" w:type="dxa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измерительной оправки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акрепленной в токарном патроне:</w:t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А: Ø 20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Ø 30 мм</w:t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DE7F1" wp14:editId="3C97EA55">
                  <wp:extent cx="3813175" cy="2673985"/>
                  <wp:effectExtent l="0" t="0" r="0" b="0"/>
                  <wp:docPr id="36" name="Рисунок 36" descr="Радиальное биение измерительной оправки. закрепленной в токарном патр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адиальное биение измерительной оправки. закрепленной в токарном патр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767B" w:rsidRPr="00BE767B" w:rsidRDefault="00BE767B" w:rsidP="00BE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  <w:proofErr w:type="gramStart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</w:p>
        </w:tc>
      </w:tr>
    </w:tbl>
    <w:p w:rsidR="001C1551" w:rsidRDefault="001C1551"/>
    <w:sectPr w:rsidR="001C1551" w:rsidSect="00DA5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B"/>
    <w:rsid w:val="001C1551"/>
    <w:rsid w:val="00BE767B"/>
    <w:rsid w:val="00D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2013-12-09T06:36:00Z</dcterms:created>
  <dcterms:modified xsi:type="dcterms:W3CDTF">2013-12-09T06:36:00Z</dcterms:modified>
</cp:coreProperties>
</file>